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20" w:lineRule="atLeast"/>
        <w:ind w:left="0" w:right="0" w:firstLine="0"/>
        <w:jc w:val="both"/>
        <w:rPr>
          <w:rFonts w:hint="default" w:ascii="&amp;quot" w:hAnsi="&amp;quot" w:eastAsia="&amp;quot" w:cs="&amp;quot"/>
          <w:b w:val="0"/>
          <w:i w:val="0"/>
          <w:caps w:val="0"/>
          <w:color w:val="333333"/>
          <w:spacing w:val="0"/>
          <w:sz w:val="32"/>
          <w:szCs w:val="32"/>
          <w:u w:val="none"/>
          <w:lang w:val="en-US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附表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eastAsia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人才发展专委会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对研究课题的重要节点检查一览</w:t>
      </w:r>
      <w:r>
        <w:rPr>
          <w:rFonts w:hint="eastAsia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表</w:t>
      </w:r>
      <w:bookmarkStart w:id="0" w:name="_GoBack"/>
      <w:bookmarkEnd w:id="0"/>
    </w:p>
    <w:tbl>
      <w:tblPr>
        <w:tblStyle w:val="2"/>
        <w:tblW w:w="579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4352"/>
        <w:gridCol w:w="3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/>
                <w:b w:val="0"/>
                <w:color w:val="333333"/>
                <w:sz w:val="19"/>
                <w:szCs w:val="19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项 目</w:t>
            </w:r>
          </w:p>
        </w:tc>
        <w:tc>
          <w:tcPr>
            <w:tcW w:w="22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重点课题</w:t>
            </w:r>
          </w:p>
        </w:tc>
        <w:tc>
          <w:tcPr>
            <w:tcW w:w="20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普通</w:t>
            </w: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研究周期</w:t>
            </w:r>
          </w:p>
        </w:tc>
        <w:tc>
          <w:tcPr>
            <w:tcW w:w="2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</w:p>
        </w:tc>
        <w:tc>
          <w:tcPr>
            <w:tcW w:w="2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开题报告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返回要求</w:t>
            </w:r>
          </w:p>
        </w:tc>
        <w:tc>
          <w:tcPr>
            <w:tcW w:w="2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right="0"/>
              <w:jc w:val="left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日前</w:t>
            </w:r>
          </w:p>
        </w:tc>
        <w:tc>
          <w:tcPr>
            <w:tcW w:w="2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2020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5000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字以内，应有至少两名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学术委员会领导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的开题评审意见。</w:t>
            </w:r>
          </w:p>
        </w:tc>
        <w:tc>
          <w:tcPr>
            <w:tcW w:w="2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1000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字以内研究内容简介，确定负责人、执笔人。参加总会组织的执笔人写作指导会议（另行通知）。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中期报告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返回要求</w:t>
            </w:r>
          </w:p>
        </w:tc>
        <w:tc>
          <w:tcPr>
            <w:tcW w:w="2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2021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日前</w:t>
            </w:r>
          </w:p>
        </w:tc>
        <w:tc>
          <w:tcPr>
            <w:tcW w:w="2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2021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5000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字以内，应包含课题进展全面情况介绍。</w:t>
            </w:r>
          </w:p>
        </w:tc>
        <w:tc>
          <w:tcPr>
            <w:tcW w:w="2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8000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字以内，提交初稿。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结题报告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返回要求</w:t>
            </w:r>
          </w:p>
        </w:tc>
        <w:tc>
          <w:tcPr>
            <w:tcW w:w="2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22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日前</w:t>
            </w:r>
          </w:p>
        </w:tc>
        <w:tc>
          <w:tcPr>
            <w:tcW w:w="2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21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30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b w:val="0"/>
                <w:color w:val="333333"/>
                <w:sz w:val="14"/>
                <w:szCs w:val="14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10000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字以内研究报告，提交电子版至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人才专委会秘书处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邮箱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（office@hr.edu.cn)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，纸质版应附有至少两名专家的评审意见，寄送至学会学术部。</w:t>
            </w:r>
          </w:p>
        </w:tc>
        <w:tc>
          <w:tcPr>
            <w:tcW w:w="202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b w:val="0"/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10000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字以内研究报告，提交电子版至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人才专委会秘书处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邮箱</w:t>
            </w:r>
            <w:r>
              <w:rPr>
                <w:rFonts w:hint="eastAsia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（office@hr.edu.cn)</w:t>
            </w:r>
            <w:r>
              <w:rPr>
                <w:rFonts w:hint="default" w:ascii="仿宋_GB2312" w:hAnsi="Times New Roman" w:eastAsia="仿宋_GB2312" w:cs="仿宋_GB2312"/>
                <w:b w:val="0"/>
                <w:color w:val="333333"/>
                <w:kern w:val="0"/>
                <w:sz w:val="30"/>
                <w:szCs w:val="30"/>
                <w:lang w:val="en-US" w:eastAsia="zh-CN" w:bidi="ar"/>
              </w:rPr>
              <w:t>，纸质版应附有至少两名专家的评审意见，寄送至学会学术部。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4EE4"/>
    <w:rsid w:val="023D1DE3"/>
    <w:rsid w:val="07564EE4"/>
    <w:rsid w:val="17027928"/>
    <w:rsid w:val="255B4F79"/>
    <w:rsid w:val="317314DB"/>
    <w:rsid w:val="63B657DE"/>
    <w:rsid w:val="6C4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2020-06-02T00:01:00Z</dcterms:created>
  <dc:creator>安艳琪</dc:creator>
  <cp:lastModifiedBy>安艳琪</cp:lastModifiedBy>
  <dcterms:modified xsi:type="dcterms:W3CDTF">2020-06-09T07:11:37Z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